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47035-2022 i Arjeplogs kommun</w:t>
      </w:r>
    </w:p>
    <w:p>
      <w:r>
        <w:t>Detta dokument behandlar höga naturvärden i avverkningsanmälan A 47035-2022 i Arjeplogs kommun. Denna avverkningsanmälan inkom 2022-10-17 00:00:00 och omfattar 15,9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 karta.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r>
        <w:rPr>
          <w:b/>
        </w:rPr>
        <w:t>Tibast</w:t>
      </w:r>
      <w:r>
        <w:t xml:space="preserve"> är en kalkgynnad buske som växer på mullrik, frisk eller svagt fuktig mark, exempelvis i gamla kalkgranskogar, lövträdslundar, varma källpåverkade sluttningar och exklusiva biotoper kopplade till vattendrag. Förekomster i gammal skog visar på höga naturvärden och bör alltid noteras i samband med naturvärdesinventeringar. Tibast är typisk art för </w:t>
      </w:r>
      <w:r>
        <w:rPr>
          <w:i/>
        </w:rPr>
        <w:t>9050 Näringsrik granskog</w:t>
      </w:r>
      <w:r>
        <w:t xml:space="preserve"> och värdväxt för de två fjärilsarterna större tibastmal och brun tibastmal (CR) (SLU Artdatabanken, 2024; Nitare &amp; Skogsstyrelsen, 2019).</w:t>
      </w:r>
    </w:p>
    <w:p>
      <w:pPr>
        <w:pStyle w:val="Heading1"/>
      </w:pPr>
      <w:r>
        <w:t>Fridlysta arter</w:t>
      </w:r>
    </w:p>
    <w:p>
      <w:r>
        <w:t>Följande fridlysta arter har sina livsmiljöer och växtplatser i den avverkningsanmälda skogen: grönkulla (S, §8), spindelblomster (S, §8) och brudsporre (§8).</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2026-02-23</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